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693" w:rsidRPr="00E30FE7" w:rsidRDefault="00D654A2" w:rsidP="00BC39F0">
      <w:pPr>
        <w:jc w:val="both"/>
        <w:rPr>
          <w:rFonts w:ascii="Century Gothic" w:hAnsi="Century Gothic"/>
        </w:rPr>
      </w:pPr>
      <w:bookmarkStart w:id="0" w:name="_GoBack"/>
      <w:bookmarkEnd w:id="0"/>
      <w:r w:rsidRPr="00037816">
        <w:rPr>
          <w:rFonts w:ascii="Century Gothic" w:hAnsi="Century Gothic"/>
          <w:b/>
          <w:i/>
          <w:u w:val="single"/>
        </w:rPr>
        <w:t xml:space="preserve"> </w:t>
      </w:r>
      <w:r w:rsidR="00EB6AAB">
        <w:rPr>
          <w:rFonts w:ascii="Century Gothic" w:hAnsi="Century Gothic"/>
          <w:b/>
          <w:i/>
          <w:u w:val="single"/>
        </w:rPr>
        <w:t xml:space="preserve">High Court Judgement </w:t>
      </w:r>
      <w:r w:rsidRPr="00037816">
        <w:rPr>
          <w:rFonts w:ascii="Century Gothic" w:hAnsi="Century Gothic"/>
          <w:b/>
          <w:i/>
          <w:u w:val="single"/>
        </w:rPr>
        <w:t>comment</w:t>
      </w:r>
      <w:r w:rsidR="00EB6AAB">
        <w:rPr>
          <w:rFonts w:ascii="Century Gothic" w:hAnsi="Century Gothic"/>
          <w:b/>
          <w:i/>
          <w:u w:val="single"/>
        </w:rPr>
        <w:t>ing</w:t>
      </w:r>
      <w:r w:rsidRPr="00037816">
        <w:rPr>
          <w:rFonts w:ascii="Century Gothic" w:hAnsi="Century Gothic"/>
          <w:b/>
          <w:i/>
          <w:u w:val="single"/>
        </w:rPr>
        <w:t xml:space="preserve"> on the exercise of local authorities</w:t>
      </w:r>
      <w:r w:rsidR="00037816">
        <w:rPr>
          <w:rFonts w:ascii="Century Gothic" w:hAnsi="Century Gothic"/>
          <w:b/>
          <w:i/>
          <w:u w:val="single"/>
        </w:rPr>
        <w:t>’</w:t>
      </w:r>
      <w:r w:rsidRPr="00037816">
        <w:rPr>
          <w:rFonts w:ascii="Century Gothic" w:hAnsi="Century Gothic"/>
          <w:b/>
          <w:i/>
          <w:u w:val="single"/>
        </w:rPr>
        <w:t xml:space="preserve"> powers under section 17(3) of the Children Act in relation to non-parent adult family members</w:t>
      </w:r>
    </w:p>
    <w:p w:rsidR="002D4693" w:rsidRPr="00E30FE7" w:rsidRDefault="002D4693" w:rsidP="00BC39F0">
      <w:pPr>
        <w:jc w:val="both"/>
        <w:rPr>
          <w:rFonts w:ascii="Century Gothic" w:hAnsi="Century Gothic"/>
        </w:rPr>
      </w:pPr>
      <w:r w:rsidRPr="00E30FE7">
        <w:rPr>
          <w:rFonts w:ascii="Century Gothic" w:hAnsi="Century Gothic"/>
        </w:rPr>
        <w:t xml:space="preserve">On 7 May 2020 </w:t>
      </w:r>
      <w:r w:rsidR="00BC39F0">
        <w:rPr>
          <w:rFonts w:ascii="Century Gothic" w:hAnsi="Century Gothic"/>
        </w:rPr>
        <w:t xml:space="preserve">the judgement in the </w:t>
      </w:r>
      <w:r w:rsidR="00BC39F0" w:rsidRPr="007C5685">
        <w:rPr>
          <w:rFonts w:ascii="Century Gothic" w:hAnsi="Century Gothic"/>
          <w:i/>
        </w:rPr>
        <w:t>OA v London Borough of Bexley</w:t>
      </w:r>
      <w:r w:rsidR="00BC39F0">
        <w:rPr>
          <w:rFonts w:ascii="Century Gothic" w:hAnsi="Century Gothic"/>
        </w:rPr>
        <w:t xml:space="preserve"> case was handed down. Although the claim for judicial review was dismissed, the Judge made a number of useful comments relating to the exercise of local authorities powers under section 17(3)</w:t>
      </w:r>
      <w:r w:rsidR="009C01E4">
        <w:rPr>
          <w:rFonts w:ascii="Century Gothic" w:hAnsi="Century Gothic"/>
        </w:rPr>
        <w:t xml:space="preserve"> of the Children Act 1989</w:t>
      </w:r>
      <w:r w:rsidR="00BC39F0">
        <w:rPr>
          <w:rFonts w:ascii="Century Gothic" w:hAnsi="Century Gothic"/>
        </w:rPr>
        <w:t xml:space="preserve"> specifically in relation to support provided to no</w:t>
      </w:r>
      <w:r w:rsidR="009C01E4">
        <w:rPr>
          <w:rFonts w:ascii="Century Gothic" w:hAnsi="Century Gothic"/>
        </w:rPr>
        <w:t xml:space="preserve">n-parent adult family members which </w:t>
      </w:r>
      <w:r w:rsidR="007C5685">
        <w:rPr>
          <w:rFonts w:ascii="Century Gothic" w:hAnsi="Century Gothic"/>
        </w:rPr>
        <w:t>could help other families.</w:t>
      </w:r>
    </w:p>
    <w:p w:rsidR="006E2719" w:rsidRPr="00E30FE7" w:rsidRDefault="00037816" w:rsidP="00BC39F0">
      <w:pPr>
        <w:jc w:val="both"/>
        <w:rPr>
          <w:rFonts w:ascii="Century Gothic" w:hAnsi="Century Gothic"/>
          <w:i/>
        </w:rPr>
      </w:pPr>
      <w:r>
        <w:rPr>
          <w:rFonts w:ascii="Century Gothic" w:hAnsi="Century Gothic"/>
          <w:i/>
        </w:rPr>
        <w:t xml:space="preserve">The </w:t>
      </w:r>
      <w:r w:rsidR="006E2719" w:rsidRPr="00E30FE7">
        <w:rPr>
          <w:rFonts w:ascii="Century Gothic" w:hAnsi="Century Gothic"/>
          <w:i/>
        </w:rPr>
        <w:t>Facts</w:t>
      </w:r>
    </w:p>
    <w:p w:rsidR="008D7417" w:rsidRPr="00E30FE7" w:rsidRDefault="005B41F1" w:rsidP="00BC39F0">
      <w:pPr>
        <w:pStyle w:val="Body"/>
        <w:spacing w:after="160" w:line="259" w:lineRule="auto"/>
        <w:jc w:val="both"/>
        <w:rPr>
          <w:rFonts w:ascii="Century Gothic" w:hAnsi="Century Gothic"/>
          <w:noProof/>
        </w:rPr>
      </w:pPr>
      <w:r w:rsidRPr="00E30FE7">
        <w:rPr>
          <w:rFonts w:ascii="Century Gothic" w:hAnsi="Century Gothic"/>
          <w:noProof/>
        </w:rPr>
        <w:t>The Claimants were</w:t>
      </w:r>
      <w:r w:rsidR="008D7417" w:rsidRPr="00E30FE7">
        <w:rPr>
          <w:rFonts w:ascii="Century Gothic" w:hAnsi="Century Gothic"/>
          <w:noProof/>
        </w:rPr>
        <w:t xml:space="preserve"> a Nigerian family of 3 (a 16 year old child, his mother and his 19 year old brother) with no recourse to public funds supported by Bexley Council under section 17 of the Children Act 1989. The Council are providing the family with accommodation and financial support of  just £70.98 per week. This is equivalent to asylum support rates, which are set at the bare minim</w:t>
      </w:r>
      <w:r w:rsidR="00604B7C" w:rsidRPr="00E30FE7">
        <w:rPr>
          <w:rFonts w:ascii="Century Gothic" w:hAnsi="Century Gothic"/>
          <w:noProof/>
        </w:rPr>
        <w:t>um to avoid destitution, for 2</w:t>
      </w:r>
      <w:r w:rsidR="008D7417" w:rsidRPr="00E30FE7">
        <w:rPr>
          <w:rFonts w:ascii="Century Gothic" w:hAnsi="Century Gothic"/>
          <w:noProof/>
        </w:rPr>
        <w:t xml:space="preserve"> people. It is also the amount the Council usually provides for 2 people. </w:t>
      </w:r>
    </w:p>
    <w:p w:rsidR="007C5685" w:rsidRDefault="008D7417" w:rsidP="00BC39F0">
      <w:pPr>
        <w:pStyle w:val="Body"/>
        <w:spacing w:after="160" w:line="259" w:lineRule="auto"/>
        <w:jc w:val="both"/>
        <w:rPr>
          <w:rFonts w:ascii="Century Gothic" w:hAnsi="Century Gothic"/>
          <w:noProof/>
        </w:rPr>
      </w:pPr>
      <w:r w:rsidRPr="00E30FE7">
        <w:rPr>
          <w:rFonts w:ascii="Century Gothic" w:hAnsi="Century Gothic"/>
          <w:noProof/>
        </w:rPr>
        <w:t xml:space="preserve">Despite providing evidence to the Council that the family do not have enough money to meet their essential living needs and are going hungry, the Council refused to increase the financial assistance. </w:t>
      </w:r>
    </w:p>
    <w:p w:rsidR="008D7417" w:rsidRPr="00E30FE7" w:rsidRDefault="008D7417" w:rsidP="00BC39F0">
      <w:pPr>
        <w:pStyle w:val="Body"/>
        <w:spacing w:after="160" w:line="259" w:lineRule="auto"/>
        <w:jc w:val="both"/>
        <w:rPr>
          <w:rFonts w:ascii="Century Gothic" w:hAnsi="Century Gothic"/>
          <w:noProof/>
        </w:rPr>
      </w:pPr>
      <w:r w:rsidRPr="00E30FE7">
        <w:rPr>
          <w:rFonts w:ascii="Century Gothic" w:hAnsi="Century Gothic"/>
          <w:noProof/>
        </w:rPr>
        <w:t>The Council argue</w:t>
      </w:r>
      <w:r w:rsidR="0033268A" w:rsidRPr="00E30FE7">
        <w:rPr>
          <w:rFonts w:ascii="Century Gothic" w:hAnsi="Century Gothic"/>
          <w:noProof/>
        </w:rPr>
        <w:t>d</w:t>
      </w:r>
      <w:r w:rsidR="002E28BF">
        <w:rPr>
          <w:rFonts w:ascii="Century Gothic" w:hAnsi="Century Gothic"/>
          <w:noProof/>
        </w:rPr>
        <w:t xml:space="preserve"> </w:t>
      </w:r>
      <w:r w:rsidRPr="00E30FE7">
        <w:rPr>
          <w:rFonts w:ascii="Century Gothic" w:hAnsi="Century Gothic"/>
          <w:noProof/>
        </w:rPr>
        <w:t xml:space="preserve">that they </w:t>
      </w:r>
      <w:r w:rsidR="007C5685">
        <w:rPr>
          <w:rFonts w:ascii="Century Gothic" w:hAnsi="Century Gothic"/>
          <w:noProof/>
        </w:rPr>
        <w:t>we</w:t>
      </w:r>
      <w:r w:rsidRPr="00E30FE7">
        <w:rPr>
          <w:rFonts w:ascii="Century Gothic" w:hAnsi="Century Gothic"/>
          <w:noProof/>
        </w:rPr>
        <w:t xml:space="preserve">re unable to use their powers under section 17(3) to </w:t>
      </w:r>
      <w:r w:rsidR="009C01E4">
        <w:rPr>
          <w:rFonts w:ascii="Century Gothic" w:hAnsi="Century Gothic"/>
          <w:noProof/>
        </w:rPr>
        <w:t xml:space="preserve">take into account </w:t>
      </w:r>
      <w:r w:rsidRPr="00E30FE7">
        <w:rPr>
          <w:rFonts w:ascii="Century Gothic" w:hAnsi="Century Gothic"/>
          <w:noProof/>
        </w:rPr>
        <w:t xml:space="preserve">the child’s adult brother, because he is not the child’s parent or carer. </w:t>
      </w:r>
      <w:r w:rsidR="00C44137" w:rsidRPr="00E30FE7">
        <w:rPr>
          <w:rFonts w:ascii="Century Gothic" w:hAnsi="Century Gothic"/>
          <w:noProof/>
        </w:rPr>
        <w:t xml:space="preserve">They relied on the previous judgement in </w:t>
      </w:r>
      <w:r w:rsidR="00C44137" w:rsidRPr="00E30FE7">
        <w:rPr>
          <w:rFonts w:ascii="Century Gothic" w:hAnsi="Century Gothic"/>
          <w:i/>
          <w:noProof/>
        </w:rPr>
        <w:t xml:space="preserve">MK v Barking &amp; Dagenham LBC </w:t>
      </w:r>
      <w:r w:rsidR="009C01E4">
        <w:rPr>
          <w:rFonts w:ascii="Century Gothic" w:hAnsi="Century Gothic"/>
          <w:noProof/>
        </w:rPr>
        <w:t>to state that because</w:t>
      </w:r>
      <w:r w:rsidR="00C44137" w:rsidRPr="00E30FE7">
        <w:rPr>
          <w:rFonts w:ascii="Century Gothic" w:hAnsi="Century Gothic"/>
          <w:noProof/>
        </w:rPr>
        <w:t xml:space="preserve"> the adult brother was excluded from receiving support due to his immirgation status, using their powers under section17(3) to provide additional support would be for an “</w:t>
      </w:r>
      <w:r w:rsidR="00C44137" w:rsidRPr="00037816">
        <w:rPr>
          <w:rFonts w:ascii="Century Gothic" w:hAnsi="Century Gothic"/>
          <w:i/>
          <w:noProof/>
        </w:rPr>
        <w:t>improper and collateral purpose</w:t>
      </w:r>
      <w:r w:rsidR="00C44137" w:rsidRPr="00E30FE7">
        <w:rPr>
          <w:rFonts w:ascii="Century Gothic" w:hAnsi="Century Gothic"/>
          <w:noProof/>
        </w:rPr>
        <w:t xml:space="preserve">”. </w:t>
      </w:r>
    </w:p>
    <w:p w:rsidR="00C44137" w:rsidRPr="00E30FE7" w:rsidRDefault="006E2719" w:rsidP="00BC39F0">
      <w:pPr>
        <w:pStyle w:val="Body"/>
        <w:spacing w:after="160" w:line="259" w:lineRule="auto"/>
        <w:jc w:val="both"/>
        <w:rPr>
          <w:rFonts w:ascii="Century Gothic" w:hAnsi="Century Gothic"/>
          <w:noProof/>
        </w:rPr>
      </w:pPr>
      <w:r w:rsidRPr="00E30FE7">
        <w:rPr>
          <w:rFonts w:ascii="Century Gothic" w:hAnsi="Century Gothic"/>
          <w:noProof/>
        </w:rPr>
        <w:t>We represented</w:t>
      </w:r>
      <w:r w:rsidR="008D7417" w:rsidRPr="00E30FE7">
        <w:rPr>
          <w:rFonts w:ascii="Century Gothic" w:hAnsi="Century Gothic"/>
          <w:noProof/>
        </w:rPr>
        <w:t xml:space="preserve"> the family in a challenge to the Council’s</w:t>
      </w:r>
      <w:r w:rsidR="00992801">
        <w:rPr>
          <w:rFonts w:ascii="Century Gothic" w:hAnsi="Century Gothic"/>
          <w:noProof/>
        </w:rPr>
        <w:t xml:space="preserve"> decision arguing that they had</w:t>
      </w:r>
      <w:r w:rsidR="008D7417" w:rsidRPr="00E30FE7">
        <w:rPr>
          <w:rFonts w:ascii="Century Gothic" w:hAnsi="Century Gothic"/>
          <w:noProof/>
        </w:rPr>
        <w:t xml:space="preserve"> misdirected themselves as to their legal powers under section 17(3) and acted irrationa</w:t>
      </w:r>
      <w:r w:rsidRPr="00E30FE7">
        <w:rPr>
          <w:rFonts w:ascii="Century Gothic" w:hAnsi="Century Gothic"/>
          <w:noProof/>
        </w:rPr>
        <w:t>l</w:t>
      </w:r>
      <w:r w:rsidR="008D7417" w:rsidRPr="00E30FE7">
        <w:rPr>
          <w:rFonts w:ascii="Century Gothic" w:hAnsi="Century Gothic"/>
          <w:noProof/>
        </w:rPr>
        <w:t>ly by failing to take into account the third member of the family in deciding what support should be provided.</w:t>
      </w:r>
    </w:p>
    <w:p w:rsidR="006E2719" w:rsidRPr="00E30FE7" w:rsidRDefault="006E2719" w:rsidP="00BC39F0">
      <w:pPr>
        <w:jc w:val="both"/>
        <w:rPr>
          <w:rFonts w:ascii="Century Gothic" w:hAnsi="Century Gothic"/>
          <w:i/>
          <w:noProof/>
        </w:rPr>
      </w:pPr>
      <w:r w:rsidRPr="00E30FE7">
        <w:rPr>
          <w:rFonts w:ascii="Century Gothic" w:hAnsi="Century Gothic"/>
          <w:i/>
          <w:noProof/>
        </w:rPr>
        <w:t>The Judgement</w:t>
      </w:r>
    </w:p>
    <w:p w:rsidR="007C5685" w:rsidRDefault="00E30FE7" w:rsidP="00BC39F0">
      <w:pPr>
        <w:jc w:val="both"/>
        <w:rPr>
          <w:rFonts w:ascii="Century Gothic" w:hAnsi="Century Gothic"/>
          <w:noProof/>
        </w:rPr>
      </w:pPr>
      <w:r>
        <w:rPr>
          <w:rFonts w:ascii="Century Gothic" w:hAnsi="Century Gothic"/>
          <w:noProof/>
        </w:rPr>
        <w:t xml:space="preserve">The judgement was handed down on 7 May 2020. </w:t>
      </w:r>
    </w:p>
    <w:p w:rsidR="008D7417" w:rsidRPr="00E30FE7" w:rsidRDefault="007C5685" w:rsidP="00BC39F0">
      <w:pPr>
        <w:jc w:val="both"/>
        <w:rPr>
          <w:rFonts w:ascii="Century Gothic" w:hAnsi="Century Gothic"/>
          <w:noProof/>
        </w:rPr>
      </w:pPr>
      <w:r>
        <w:rPr>
          <w:rFonts w:ascii="Century Gothic" w:hAnsi="Century Gothic"/>
          <w:noProof/>
        </w:rPr>
        <w:t xml:space="preserve">Disappointingly, despite rejecting the Defendant’s submissions that they had no power to provide support for adult members of the family, the Judge accepted that </w:t>
      </w:r>
      <w:r>
        <w:rPr>
          <w:rFonts w:ascii="Century Gothic" w:hAnsi="Century Gothic"/>
        </w:rPr>
        <w:t xml:space="preserve">the Council </w:t>
      </w:r>
      <w:r w:rsidRPr="00E30FE7">
        <w:rPr>
          <w:rFonts w:ascii="Century Gothic" w:hAnsi="Century Gothic"/>
        </w:rPr>
        <w:t xml:space="preserve">had properly assessed </w:t>
      </w:r>
      <w:r>
        <w:rPr>
          <w:rFonts w:ascii="Century Gothic" w:hAnsi="Century Gothic"/>
        </w:rPr>
        <w:t xml:space="preserve">the Claimants’ </w:t>
      </w:r>
      <w:r w:rsidRPr="00E30FE7">
        <w:rPr>
          <w:rFonts w:ascii="Century Gothic" w:hAnsi="Century Gothic"/>
        </w:rPr>
        <w:t>situation and rationally concluded that they were not required to</w:t>
      </w:r>
      <w:r>
        <w:rPr>
          <w:rFonts w:ascii="Century Gothic" w:hAnsi="Century Gothic"/>
        </w:rPr>
        <w:t xml:space="preserve"> provide for the elder brother. </w:t>
      </w:r>
      <w:r w:rsidR="008D7417" w:rsidRPr="00E30FE7">
        <w:rPr>
          <w:rFonts w:ascii="Century Gothic" w:hAnsi="Century Gothic"/>
          <w:noProof/>
        </w:rPr>
        <w:t xml:space="preserve">Although the claim for judicial review was dismissed </w:t>
      </w:r>
      <w:r w:rsidR="009C01E4">
        <w:rPr>
          <w:rFonts w:ascii="Century Gothic" w:hAnsi="Century Gothic"/>
          <w:noProof/>
        </w:rPr>
        <w:t>the J</w:t>
      </w:r>
      <w:r w:rsidR="005B41F1" w:rsidRPr="00E30FE7">
        <w:rPr>
          <w:rFonts w:ascii="Century Gothic" w:hAnsi="Century Gothic"/>
          <w:noProof/>
        </w:rPr>
        <w:t>udge made a number of help</w:t>
      </w:r>
      <w:r w:rsidR="00E30FE7">
        <w:rPr>
          <w:rFonts w:ascii="Century Gothic" w:hAnsi="Century Gothic"/>
          <w:noProof/>
        </w:rPr>
        <w:t>ful</w:t>
      </w:r>
      <w:r w:rsidR="005B41F1" w:rsidRPr="00E30FE7">
        <w:rPr>
          <w:rFonts w:ascii="Century Gothic" w:hAnsi="Century Gothic"/>
          <w:noProof/>
        </w:rPr>
        <w:t xml:space="preserve"> comments that may be useful for practitioners going forward</w:t>
      </w:r>
      <w:r w:rsidR="00BC39F0">
        <w:rPr>
          <w:rFonts w:ascii="Century Gothic" w:hAnsi="Century Gothic"/>
          <w:noProof/>
        </w:rPr>
        <w:t>. The Judge stated</w:t>
      </w:r>
      <w:r w:rsidR="009E43C7" w:rsidRPr="00E30FE7">
        <w:rPr>
          <w:rFonts w:ascii="Century Gothic" w:hAnsi="Century Gothic"/>
          <w:noProof/>
        </w:rPr>
        <w:t>:</w:t>
      </w:r>
    </w:p>
    <w:p w:rsidR="009E43C7" w:rsidRDefault="00C44137" w:rsidP="00037816">
      <w:pPr>
        <w:pStyle w:val="ListParagraph"/>
        <w:numPr>
          <w:ilvl w:val="0"/>
          <w:numId w:val="4"/>
        </w:numPr>
        <w:spacing w:after="0"/>
        <w:jc w:val="both"/>
        <w:rPr>
          <w:rFonts w:ascii="Century Gothic" w:hAnsi="Century Gothic"/>
        </w:rPr>
      </w:pPr>
      <w:r w:rsidRPr="00E30FE7">
        <w:rPr>
          <w:rFonts w:ascii="Century Gothic" w:hAnsi="Century Gothic"/>
        </w:rPr>
        <w:t xml:space="preserve">It is clear that the meaning of family within section17 is wider than just those persons with parental responsibility. </w:t>
      </w:r>
    </w:p>
    <w:p w:rsidR="007C5685" w:rsidRPr="00E30FE7" w:rsidRDefault="007C5685" w:rsidP="00037816">
      <w:pPr>
        <w:pStyle w:val="ListParagraph"/>
        <w:spacing w:after="0"/>
        <w:jc w:val="both"/>
        <w:rPr>
          <w:rFonts w:ascii="Century Gothic" w:hAnsi="Century Gothic"/>
        </w:rPr>
      </w:pPr>
    </w:p>
    <w:p w:rsidR="007C5685" w:rsidRDefault="00C44137" w:rsidP="00037816">
      <w:pPr>
        <w:pStyle w:val="ListParagraph"/>
        <w:numPr>
          <w:ilvl w:val="0"/>
          <w:numId w:val="4"/>
        </w:numPr>
        <w:spacing w:after="0"/>
        <w:jc w:val="both"/>
        <w:rPr>
          <w:rFonts w:ascii="Century Gothic" w:hAnsi="Century Gothic"/>
        </w:rPr>
      </w:pPr>
      <w:r w:rsidRPr="00E30FE7">
        <w:rPr>
          <w:rFonts w:ascii="Century Gothic" w:hAnsi="Century Gothic"/>
        </w:rPr>
        <w:t>He rejected the argument of the Defendant that  “upbringing” of a child for the purposes of section17(1)(b) can only ever be done by a parent.</w:t>
      </w:r>
    </w:p>
    <w:p w:rsidR="007C5685" w:rsidRPr="00037816" w:rsidRDefault="00C44137" w:rsidP="00037816">
      <w:pPr>
        <w:spacing w:after="0"/>
        <w:jc w:val="both"/>
        <w:rPr>
          <w:rFonts w:ascii="Century Gothic" w:hAnsi="Century Gothic"/>
        </w:rPr>
      </w:pPr>
      <w:r w:rsidRPr="00037816">
        <w:rPr>
          <w:rFonts w:ascii="Century Gothic" w:hAnsi="Century Gothic"/>
        </w:rPr>
        <w:t xml:space="preserve"> </w:t>
      </w:r>
    </w:p>
    <w:p w:rsidR="007C5685" w:rsidRDefault="00C44137" w:rsidP="00037816">
      <w:pPr>
        <w:pStyle w:val="ListParagraph"/>
        <w:numPr>
          <w:ilvl w:val="0"/>
          <w:numId w:val="4"/>
        </w:numPr>
        <w:spacing w:after="0"/>
        <w:jc w:val="both"/>
        <w:rPr>
          <w:rFonts w:ascii="Century Gothic" w:hAnsi="Century Gothic"/>
        </w:rPr>
      </w:pPr>
      <w:r w:rsidRPr="00E30FE7">
        <w:rPr>
          <w:rFonts w:ascii="Century Gothic" w:hAnsi="Century Gothic"/>
        </w:rPr>
        <w:lastRenderedPageBreak/>
        <w:t>Section17(3) states that the service</w:t>
      </w:r>
      <w:r w:rsidR="005A1BC8" w:rsidRPr="00E30FE7">
        <w:rPr>
          <w:rFonts w:ascii="Century Gothic" w:hAnsi="Century Gothic"/>
        </w:rPr>
        <w:t>s</w:t>
      </w:r>
      <w:r w:rsidRPr="00E30FE7">
        <w:rPr>
          <w:rFonts w:ascii="Century Gothic" w:hAnsi="Century Gothic"/>
        </w:rPr>
        <w:t xml:space="preserve"> may be provided “for the child or any member of his family”</w:t>
      </w:r>
      <w:r w:rsidR="007C5685">
        <w:rPr>
          <w:rFonts w:ascii="Century Gothic" w:hAnsi="Century Gothic"/>
        </w:rPr>
        <w:t>.</w:t>
      </w:r>
    </w:p>
    <w:p w:rsidR="00C44137" w:rsidRPr="00037816" w:rsidRDefault="00C44137" w:rsidP="00037816">
      <w:pPr>
        <w:spacing w:after="0"/>
        <w:jc w:val="both"/>
        <w:rPr>
          <w:rFonts w:ascii="Century Gothic" w:hAnsi="Century Gothic"/>
        </w:rPr>
      </w:pPr>
    </w:p>
    <w:p w:rsidR="007C5685" w:rsidRPr="00037816" w:rsidRDefault="00C44137" w:rsidP="00037816">
      <w:pPr>
        <w:pStyle w:val="ListParagraph"/>
        <w:numPr>
          <w:ilvl w:val="0"/>
          <w:numId w:val="4"/>
        </w:numPr>
        <w:spacing w:after="0"/>
        <w:jc w:val="both"/>
        <w:rPr>
          <w:rFonts w:ascii="Century Gothic" w:hAnsi="Century Gothic"/>
        </w:rPr>
      </w:pPr>
      <w:r w:rsidRPr="00E30FE7">
        <w:rPr>
          <w:rFonts w:ascii="Century Gothic" w:hAnsi="Century Gothic"/>
        </w:rPr>
        <w:t>However, services can only be provided under section17(3) for the purpose of meeting the general duty under section17(1). He stated that the service must always be those that are appropriate to the</w:t>
      </w:r>
      <w:r w:rsidR="00037816">
        <w:rPr>
          <w:rFonts w:ascii="Century Gothic" w:hAnsi="Century Gothic"/>
        </w:rPr>
        <w:t xml:space="preserve"> “needs” of the relevant child.</w:t>
      </w:r>
    </w:p>
    <w:p w:rsidR="00C44137" w:rsidRDefault="005A1BC8" w:rsidP="00037816">
      <w:pPr>
        <w:pStyle w:val="ListParagraph"/>
        <w:numPr>
          <w:ilvl w:val="0"/>
          <w:numId w:val="4"/>
        </w:numPr>
        <w:spacing w:after="0"/>
        <w:jc w:val="both"/>
        <w:rPr>
          <w:rFonts w:ascii="Century Gothic" w:hAnsi="Century Gothic"/>
        </w:rPr>
      </w:pPr>
      <w:r w:rsidRPr="00E30FE7">
        <w:rPr>
          <w:rFonts w:ascii="Century Gothic" w:hAnsi="Century Gothic"/>
        </w:rPr>
        <w:t>It</w:t>
      </w:r>
      <w:r w:rsidR="009C01E4">
        <w:rPr>
          <w:rFonts w:ascii="Century Gothic" w:hAnsi="Century Gothic"/>
        </w:rPr>
        <w:t xml:space="preserve"> does </w:t>
      </w:r>
      <w:r w:rsidR="009C01E4" w:rsidRPr="009C01E4">
        <w:rPr>
          <w:rFonts w:ascii="Century Gothic" w:hAnsi="Century Gothic"/>
          <w:b/>
        </w:rPr>
        <w:t>not</w:t>
      </w:r>
      <w:r w:rsidR="009C01E4">
        <w:rPr>
          <w:rFonts w:ascii="Century Gothic" w:hAnsi="Century Gothic"/>
        </w:rPr>
        <w:t xml:space="preserve"> </w:t>
      </w:r>
      <w:r w:rsidR="00C44137" w:rsidRPr="00E30FE7">
        <w:rPr>
          <w:rFonts w:ascii="Century Gothic" w:hAnsi="Century Gothic"/>
        </w:rPr>
        <w:t>follow</w:t>
      </w:r>
      <w:r w:rsidR="001D31BE" w:rsidRPr="00E30FE7">
        <w:rPr>
          <w:rFonts w:ascii="Century Gothic" w:hAnsi="Century Gothic"/>
        </w:rPr>
        <w:t>s</w:t>
      </w:r>
      <w:r w:rsidR="00C44137" w:rsidRPr="00E30FE7">
        <w:rPr>
          <w:rFonts w:ascii="Century Gothic" w:hAnsi="Century Gothic"/>
        </w:rPr>
        <w:t xml:space="preserve"> from the case of </w:t>
      </w:r>
      <w:r w:rsidR="00C44137" w:rsidRPr="00E30FE7">
        <w:rPr>
          <w:rFonts w:ascii="Century Gothic" w:hAnsi="Century Gothic"/>
          <w:i/>
        </w:rPr>
        <w:t>MK</w:t>
      </w:r>
      <w:r w:rsidR="00C44137" w:rsidRPr="00E30FE7">
        <w:rPr>
          <w:rFonts w:ascii="Century Gothic" w:hAnsi="Century Gothic"/>
        </w:rPr>
        <w:t xml:space="preserve"> that providing support to another adult family member of a child in need (</w:t>
      </w:r>
      <w:proofErr w:type="spellStart"/>
      <w:r w:rsidR="00C44137" w:rsidRPr="00E30FE7">
        <w:rPr>
          <w:rFonts w:ascii="Century Gothic" w:hAnsi="Century Gothic"/>
        </w:rPr>
        <w:t>ie</w:t>
      </w:r>
      <w:proofErr w:type="spellEnd"/>
      <w:r w:rsidR="00C44137" w:rsidRPr="00E30FE7">
        <w:rPr>
          <w:rFonts w:ascii="Century Gothic" w:hAnsi="Century Gothic"/>
        </w:rPr>
        <w:t xml:space="preserve"> other than a par</w:t>
      </w:r>
      <w:r w:rsidR="001D31BE" w:rsidRPr="00E30FE7">
        <w:rPr>
          <w:rFonts w:ascii="Century Gothic" w:hAnsi="Century Gothic"/>
        </w:rPr>
        <w:t>ent) will alway</w:t>
      </w:r>
      <w:r w:rsidR="00037816">
        <w:rPr>
          <w:rFonts w:ascii="Century Gothic" w:hAnsi="Century Gothic"/>
        </w:rPr>
        <w:t>s be improper or ultra vires. The Judge</w:t>
      </w:r>
      <w:r w:rsidR="001D31BE" w:rsidRPr="00E30FE7">
        <w:rPr>
          <w:rFonts w:ascii="Century Gothic" w:hAnsi="Century Gothic"/>
        </w:rPr>
        <w:t xml:space="preserve"> referred to instances where other adult family members who were not the parent of the child in need were in fact safeguarding and promoting his</w:t>
      </w:r>
      <w:r w:rsidR="00D654A2">
        <w:rPr>
          <w:rFonts w:ascii="Century Gothic" w:hAnsi="Century Gothic"/>
        </w:rPr>
        <w:t>/her</w:t>
      </w:r>
      <w:r w:rsidR="001D31BE" w:rsidRPr="00E30FE7">
        <w:rPr>
          <w:rFonts w:ascii="Century Gothic" w:hAnsi="Century Gothic"/>
        </w:rPr>
        <w:t xml:space="preserve"> welfare and thereby meeting the child’s needs and in these circumstances section17(3) could in fact be used by local authorities to provide accommodation and financial support subject to the schedule 3 exclusion. </w:t>
      </w:r>
    </w:p>
    <w:p w:rsidR="007C5685" w:rsidRPr="00037816" w:rsidRDefault="007C5685" w:rsidP="00037816">
      <w:pPr>
        <w:spacing w:after="0"/>
        <w:jc w:val="both"/>
        <w:rPr>
          <w:rFonts w:ascii="Century Gothic" w:hAnsi="Century Gothic"/>
        </w:rPr>
      </w:pPr>
    </w:p>
    <w:p w:rsidR="0086296A" w:rsidRPr="0086296A" w:rsidRDefault="007C5685" w:rsidP="0086296A">
      <w:pPr>
        <w:ind w:left="360"/>
        <w:jc w:val="both"/>
        <w:rPr>
          <w:rFonts w:ascii="Century Gothic" w:hAnsi="Century Gothic"/>
          <w:i/>
        </w:rPr>
      </w:pPr>
      <w:r>
        <w:rPr>
          <w:rFonts w:ascii="Century Gothic" w:hAnsi="Century Gothic"/>
          <w:i/>
        </w:rPr>
        <w:t>Comments on the case</w:t>
      </w:r>
    </w:p>
    <w:p w:rsidR="007C5685" w:rsidRDefault="001D31BE" w:rsidP="00BC39F0">
      <w:pPr>
        <w:ind w:left="360"/>
        <w:jc w:val="both"/>
        <w:rPr>
          <w:rFonts w:ascii="Century Gothic" w:hAnsi="Century Gothic"/>
        </w:rPr>
      </w:pPr>
      <w:r w:rsidRPr="00E30FE7">
        <w:rPr>
          <w:rFonts w:ascii="Century Gothic" w:hAnsi="Century Gothic"/>
        </w:rPr>
        <w:t xml:space="preserve">We consider this analysis will be </w:t>
      </w:r>
      <w:r w:rsidR="006E2719" w:rsidRPr="00E30FE7">
        <w:rPr>
          <w:rFonts w:ascii="Century Gothic" w:hAnsi="Century Gothic"/>
        </w:rPr>
        <w:t>beneficial</w:t>
      </w:r>
      <w:r w:rsidRPr="00E30FE7">
        <w:rPr>
          <w:rFonts w:ascii="Century Gothic" w:hAnsi="Century Gothic"/>
        </w:rPr>
        <w:t xml:space="preserve"> for practitioners going forward where local authorities refuse to </w:t>
      </w:r>
      <w:r w:rsidR="005A1BC8" w:rsidRPr="00E30FE7">
        <w:rPr>
          <w:rFonts w:ascii="Century Gothic" w:hAnsi="Century Gothic"/>
        </w:rPr>
        <w:t>even consider providing</w:t>
      </w:r>
      <w:r w:rsidRPr="00E30FE7">
        <w:rPr>
          <w:rFonts w:ascii="Century Gothic" w:hAnsi="Century Gothic"/>
        </w:rPr>
        <w:t xml:space="preserve"> </w:t>
      </w:r>
      <w:r w:rsidR="006E2719" w:rsidRPr="00E30FE7">
        <w:rPr>
          <w:rFonts w:ascii="Century Gothic" w:hAnsi="Century Gothic"/>
        </w:rPr>
        <w:t xml:space="preserve">support </w:t>
      </w:r>
      <w:r w:rsidRPr="00E30FE7">
        <w:rPr>
          <w:rFonts w:ascii="Century Gothic" w:hAnsi="Century Gothic"/>
        </w:rPr>
        <w:t xml:space="preserve">to </w:t>
      </w:r>
      <w:r w:rsidR="006E2719" w:rsidRPr="00E30FE7">
        <w:rPr>
          <w:rFonts w:ascii="Century Gothic" w:hAnsi="Century Gothic"/>
        </w:rPr>
        <w:t xml:space="preserve">include </w:t>
      </w:r>
      <w:r w:rsidRPr="00E30FE7">
        <w:rPr>
          <w:rFonts w:ascii="Century Gothic" w:hAnsi="Century Gothic"/>
        </w:rPr>
        <w:t>non-p</w:t>
      </w:r>
      <w:r w:rsidR="005A1BC8" w:rsidRPr="00E30FE7">
        <w:rPr>
          <w:rFonts w:ascii="Century Gothic" w:hAnsi="Century Gothic"/>
        </w:rPr>
        <w:t>arent adult family members. The judgement</w:t>
      </w:r>
      <w:r w:rsidR="006E2719" w:rsidRPr="00E30FE7">
        <w:rPr>
          <w:rFonts w:ascii="Century Gothic" w:hAnsi="Century Gothic"/>
        </w:rPr>
        <w:t xml:space="preserve"> suggests that local authorities</w:t>
      </w:r>
      <w:r w:rsidRPr="00E30FE7">
        <w:rPr>
          <w:rFonts w:ascii="Century Gothic" w:hAnsi="Century Gothic"/>
        </w:rPr>
        <w:t xml:space="preserve"> are required to assess the role </w:t>
      </w:r>
      <w:r w:rsidR="005A1BC8" w:rsidRPr="00E30FE7">
        <w:rPr>
          <w:rFonts w:ascii="Century Gothic" w:hAnsi="Century Gothic"/>
        </w:rPr>
        <w:t xml:space="preserve">of </w:t>
      </w:r>
      <w:r w:rsidRPr="00E30FE7">
        <w:rPr>
          <w:rFonts w:ascii="Century Gothic" w:hAnsi="Century Gothic"/>
        </w:rPr>
        <w:t>the non-</w:t>
      </w:r>
      <w:r w:rsidR="005A1BC8" w:rsidRPr="00E30FE7">
        <w:rPr>
          <w:rFonts w:ascii="Century Gothic" w:hAnsi="Century Gothic"/>
        </w:rPr>
        <w:t>parent adult family member</w:t>
      </w:r>
      <w:r w:rsidRPr="00E30FE7">
        <w:rPr>
          <w:rFonts w:ascii="Century Gothic" w:hAnsi="Century Gothic"/>
        </w:rPr>
        <w:t xml:space="preserve"> in the</w:t>
      </w:r>
      <w:r w:rsidR="00CC0324" w:rsidRPr="00E30FE7">
        <w:rPr>
          <w:rFonts w:ascii="Century Gothic" w:hAnsi="Century Gothic"/>
        </w:rPr>
        <w:t xml:space="preserve"> life of the child in need prior to making a decision</w:t>
      </w:r>
      <w:r w:rsidR="006E2719" w:rsidRPr="00E30FE7">
        <w:rPr>
          <w:rFonts w:ascii="Century Gothic" w:hAnsi="Century Gothic"/>
        </w:rPr>
        <w:t xml:space="preserve"> as to what support should be provided. We consider it likely, in light of these comments, that any assessment which does not consider this </w:t>
      </w:r>
      <w:r w:rsidR="00BC39F0">
        <w:rPr>
          <w:rFonts w:ascii="Century Gothic" w:hAnsi="Century Gothic"/>
        </w:rPr>
        <w:t xml:space="preserve">issue </w:t>
      </w:r>
      <w:r w:rsidR="006E2719" w:rsidRPr="00E30FE7">
        <w:rPr>
          <w:rFonts w:ascii="Century Gothic" w:hAnsi="Century Gothic"/>
        </w:rPr>
        <w:t xml:space="preserve">in conjunction with the needs of the child will be unlawful and susceptible to challenge. </w:t>
      </w:r>
    </w:p>
    <w:p w:rsidR="00CC0324" w:rsidRDefault="006E2719" w:rsidP="00037816">
      <w:pPr>
        <w:ind w:left="360"/>
        <w:jc w:val="both"/>
        <w:rPr>
          <w:rFonts w:ascii="Century Gothic" w:hAnsi="Century Gothic"/>
        </w:rPr>
      </w:pPr>
      <w:r w:rsidRPr="00E30FE7">
        <w:rPr>
          <w:rFonts w:ascii="Century Gothic" w:hAnsi="Century Gothic"/>
        </w:rPr>
        <w:t>Furthermore a</w:t>
      </w:r>
      <w:r w:rsidR="00CC0324" w:rsidRPr="00E30FE7">
        <w:rPr>
          <w:rFonts w:ascii="Century Gothic" w:hAnsi="Century Gothic"/>
        </w:rPr>
        <w:t xml:space="preserve">ny local </w:t>
      </w:r>
      <w:r w:rsidR="00EB6AAB" w:rsidRPr="00E30FE7">
        <w:rPr>
          <w:rFonts w:ascii="Century Gothic" w:hAnsi="Century Gothic"/>
        </w:rPr>
        <w:t>authorit</w:t>
      </w:r>
      <w:r w:rsidR="00EB6AAB">
        <w:rPr>
          <w:rFonts w:ascii="Century Gothic" w:hAnsi="Century Gothic"/>
        </w:rPr>
        <w:t xml:space="preserve">y </w:t>
      </w:r>
      <w:r w:rsidR="00CC0324" w:rsidRPr="00E30FE7">
        <w:rPr>
          <w:rFonts w:ascii="Century Gothic" w:hAnsi="Century Gothic"/>
        </w:rPr>
        <w:t>policies stating that non</w:t>
      </w:r>
      <w:r w:rsidR="005A1BC8" w:rsidRPr="00E30FE7">
        <w:rPr>
          <w:rFonts w:ascii="Century Gothic" w:hAnsi="Century Gothic"/>
        </w:rPr>
        <w:t>-pa</w:t>
      </w:r>
      <w:r w:rsidR="009C01E4">
        <w:rPr>
          <w:rFonts w:ascii="Century Gothic" w:hAnsi="Century Gothic"/>
        </w:rPr>
        <w:t>rent adult family members can never</w:t>
      </w:r>
      <w:r w:rsidR="00CC0324" w:rsidRPr="00E30FE7">
        <w:rPr>
          <w:rFonts w:ascii="Century Gothic" w:hAnsi="Century Gothic"/>
        </w:rPr>
        <w:t xml:space="preserve"> be supported under section 17 </w:t>
      </w:r>
      <w:r w:rsidR="00037816">
        <w:rPr>
          <w:rFonts w:ascii="Century Gothic" w:hAnsi="Century Gothic"/>
        </w:rPr>
        <w:t xml:space="preserve">will be </w:t>
      </w:r>
      <w:r w:rsidR="00CC0324" w:rsidRPr="00E30FE7">
        <w:rPr>
          <w:rFonts w:ascii="Century Gothic" w:hAnsi="Century Gothic"/>
        </w:rPr>
        <w:t xml:space="preserve">unlawful and should </w:t>
      </w:r>
      <w:r w:rsidRPr="00E30FE7">
        <w:rPr>
          <w:rFonts w:ascii="Century Gothic" w:hAnsi="Century Gothic"/>
        </w:rPr>
        <w:t xml:space="preserve">also </w:t>
      </w:r>
      <w:r w:rsidR="00CC0324" w:rsidRPr="00E30FE7">
        <w:rPr>
          <w:rFonts w:ascii="Century Gothic" w:hAnsi="Century Gothic"/>
        </w:rPr>
        <w:t xml:space="preserve">be challenged in light of this decision. </w:t>
      </w:r>
    </w:p>
    <w:p w:rsidR="00D654A2" w:rsidRDefault="002E28BF">
      <w:pPr>
        <w:ind w:left="360"/>
        <w:jc w:val="both"/>
        <w:rPr>
          <w:rFonts w:ascii="Century Gothic" w:hAnsi="Century Gothic"/>
        </w:rPr>
      </w:pPr>
      <w:r w:rsidRPr="00E30FE7">
        <w:rPr>
          <w:rFonts w:ascii="Century Gothic" w:hAnsi="Century Gothic"/>
        </w:rPr>
        <w:t>Unfortuna</w:t>
      </w:r>
      <w:r>
        <w:rPr>
          <w:rFonts w:ascii="Century Gothic" w:hAnsi="Century Gothic"/>
        </w:rPr>
        <w:t>tely, it was held</w:t>
      </w:r>
      <w:r w:rsidRPr="00E30FE7">
        <w:rPr>
          <w:rFonts w:ascii="Century Gothic" w:hAnsi="Century Gothic"/>
        </w:rPr>
        <w:t xml:space="preserve"> that the Council had properly assessed </w:t>
      </w:r>
      <w:r>
        <w:rPr>
          <w:rFonts w:ascii="Century Gothic" w:hAnsi="Century Gothic"/>
        </w:rPr>
        <w:t xml:space="preserve">the Claimants’ </w:t>
      </w:r>
      <w:r w:rsidRPr="00E30FE7">
        <w:rPr>
          <w:rFonts w:ascii="Century Gothic" w:hAnsi="Century Gothic"/>
        </w:rPr>
        <w:t>situation and rationally concluded that they were not required to provide for the elder brother as all of the child’s welfare needs could be met by his mother, and by the support and accommodation being provided by the Council.</w:t>
      </w:r>
      <w:r>
        <w:rPr>
          <w:rFonts w:ascii="Century Gothic" w:hAnsi="Century Gothic"/>
        </w:rPr>
        <w:t xml:space="preserve"> </w:t>
      </w:r>
      <w:r w:rsidR="00D654A2">
        <w:rPr>
          <w:rFonts w:ascii="Century Gothic" w:hAnsi="Century Gothic"/>
        </w:rPr>
        <w:t>The Judge acknowledged that the brother did play an important role in the child’s life but that, it did not necessarily follow from this that the child’s “welfare needs” were being met by the brother.</w:t>
      </w:r>
    </w:p>
    <w:p w:rsidR="005A1BC8" w:rsidRDefault="00CC0324">
      <w:pPr>
        <w:ind w:left="360"/>
        <w:jc w:val="both"/>
        <w:rPr>
          <w:rFonts w:ascii="Century Gothic" w:hAnsi="Century Gothic"/>
        </w:rPr>
      </w:pPr>
      <w:r w:rsidRPr="00E30FE7">
        <w:rPr>
          <w:rFonts w:ascii="Century Gothic" w:hAnsi="Century Gothic"/>
        </w:rPr>
        <w:t>We query whether the Judge applied too narrow a definition of “welfare needs”</w:t>
      </w:r>
      <w:r w:rsidR="005A1BC8" w:rsidRPr="00E30FE7">
        <w:rPr>
          <w:rFonts w:ascii="Century Gothic" w:hAnsi="Century Gothic"/>
        </w:rPr>
        <w:t xml:space="preserve"> in this c</w:t>
      </w:r>
      <w:r w:rsidR="006E2719" w:rsidRPr="00E30FE7">
        <w:rPr>
          <w:rFonts w:ascii="Century Gothic" w:hAnsi="Century Gothic"/>
        </w:rPr>
        <w:t>ontext</w:t>
      </w:r>
      <w:r w:rsidR="002E28BF">
        <w:rPr>
          <w:rFonts w:ascii="Century Gothic" w:hAnsi="Century Gothic"/>
        </w:rPr>
        <w:t>,</w:t>
      </w:r>
      <w:r w:rsidRPr="00E30FE7">
        <w:rPr>
          <w:rFonts w:ascii="Century Gothic" w:hAnsi="Century Gothic"/>
        </w:rPr>
        <w:t xml:space="preserve"> which failed to take into account the need of a child to live with his </w:t>
      </w:r>
      <w:r w:rsidR="005A1BC8" w:rsidRPr="00E30FE7">
        <w:rPr>
          <w:rFonts w:ascii="Century Gothic" w:hAnsi="Century Gothic"/>
        </w:rPr>
        <w:t xml:space="preserve">entire </w:t>
      </w:r>
      <w:r w:rsidRPr="00E30FE7">
        <w:rPr>
          <w:rFonts w:ascii="Century Gothic" w:hAnsi="Century Gothic"/>
        </w:rPr>
        <w:t xml:space="preserve">family unit in order to </w:t>
      </w:r>
      <w:r w:rsidR="005A1BC8" w:rsidRPr="00E30FE7">
        <w:rPr>
          <w:rFonts w:ascii="Century Gothic" w:hAnsi="Century Gothic"/>
        </w:rPr>
        <w:t xml:space="preserve">achieve or maintain a reasonable standard of health and development. We anticipate that this issue will likely be the subject of further litigation in future.  </w:t>
      </w:r>
    </w:p>
    <w:p w:rsidR="00EB6AAB" w:rsidRPr="00E30FE7" w:rsidRDefault="00EB6AAB">
      <w:pPr>
        <w:ind w:left="360"/>
        <w:jc w:val="both"/>
        <w:rPr>
          <w:rFonts w:ascii="Century Gothic" w:hAnsi="Century Gothic"/>
        </w:rPr>
      </w:pPr>
      <w:r>
        <w:rPr>
          <w:rFonts w:ascii="Century Gothic" w:hAnsi="Century Gothic"/>
        </w:rPr>
        <w:t>The Claimants in this case were represented by Azeem Suterwalla of Monckton Chambers and Olivia Halse in our Public Law and Community Care Department.</w:t>
      </w:r>
    </w:p>
    <w:p w:rsidR="001D31BE" w:rsidRPr="00037816" w:rsidRDefault="006E2719" w:rsidP="00037816">
      <w:pPr>
        <w:ind w:left="360"/>
        <w:jc w:val="both"/>
        <w:rPr>
          <w:rFonts w:ascii="Century Gothic" w:hAnsi="Century Gothic"/>
        </w:rPr>
      </w:pPr>
      <w:r w:rsidRPr="00E30FE7">
        <w:rPr>
          <w:rFonts w:ascii="Century Gothic" w:hAnsi="Century Gothic"/>
        </w:rPr>
        <w:t>For further information on about this challenge or similar issues - please contact Olivia</w:t>
      </w:r>
      <w:r w:rsidR="00037816">
        <w:rPr>
          <w:rFonts w:ascii="Century Gothic" w:hAnsi="Century Gothic"/>
        </w:rPr>
        <w:t xml:space="preserve"> Halse.</w:t>
      </w:r>
    </w:p>
    <w:sectPr w:rsidR="001D31BE" w:rsidRPr="000378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E4D8B"/>
    <w:multiLevelType w:val="hybridMultilevel"/>
    <w:tmpl w:val="F0881E16"/>
    <w:lvl w:ilvl="0" w:tplc="EF04048C">
      <w:start w:val="1"/>
      <w:numFmt w:val="decimal"/>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12F69"/>
    <w:multiLevelType w:val="hybridMultilevel"/>
    <w:tmpl w:val="4CFE2BF4"/>
    <w:lvl w:ilvl="0" w:tplc="E50A4B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AF7E4A"/>
    <w:multiLevelType w:val="hybridMultilevel"/>
    <w:tmpl w:val="562C6BFC"/>
    <w:lvl w:ilvl="0" w:tplc="6F44FB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1D06BD"/>
    <w:multiLevelType w:val="hybridMultilevel"/>
    <w:tmpl w:val="C92428E0"/>
    <w:lvl w:ilvl="0" w:tplc="65F840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40"/>
    <w:rsid w:val="00037816"/>
    <w:rsid w:val="000D6CC7"/>
    <w:rsid w:val="00102287"/>
    <w:rsid w:val="00150068"/>
    <w:rsid w:val="001D31BE"/>
    <w:rsid w:val="00292CAD"/>
    <w:rsid w:val="002A46D2"/>
    <w:rsid w:val="002D4693"/>
    <w:rsid w:val="002E28BF"/>
    <w:rsid w:val="0033268A"/>
    <w:rsid w:val="00366334"/>
    <w:rsid w:val="005A1BC8"/>
    <w:rsid w:val="005B41F1"/>
    <w:rsid w:val="00604B7C"/>
    <w:rsid w:val="006E2719"/>
    <w:rsid w:val="007C5685"/>
    <w:rsid w:val="007E1046"/>
    <w:rsid w:val="0086296A"/>
    <w:rsid w:val="008D7417"/>
    <w:rsid w:val="00923822"/>
    <w:rsid w:val="00992801"/>
    <w:rsid w:val="009C01E4"/>
    <w:rsid w:val="009E43C7"/>
    <w:rsid w:val="00BC39F0"/>
    <w:rsid w:val="00C44137"/>
    <w:rsid w:val="00C669C9"/>
    <w:rsid w:val="00CC0324"/>
    <w:rsid w:val="00D654A2"/>
    <w:rsid w:val="00E30FE7"/>
    <w:rsid w:val="00EB6AAB"/>
    <w:rsid w:val="00EF7240"/>
    <w:rsid w:val="00F73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7B558-2433-426F-A327-37A7EFBF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240"/>
    <w:pPr>
      <w:ind w:left="720"/>
      <w:contextualSpacing/>
    </w:pPr>
  </w:style>
  <w:style w:type="paragraph" w:customStyle="1" w:styleId="Body">
    <w:name w:val="Body"/>
    <w:rsid w:val="008D741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BalloonText">
    <w:name w:val="Balloon Text"/>
    <w:basedOn w:val="Normal"/>
    <w:link w:val="BalloonTextChar"/>
    <w:uiPriority w:val="99"/>
    <w:semiHidden/>
    <w:unhideWhenUsed/>
    <w:rsid w:val="007C5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685"/>
    <w:rPr>
      <w:rFonts w:ascii="Segoe UI" w:hAnsi="Segoe UI" w:cs="Segoe UI"/>
      <w:sz w:val="18"/>
      <w:szCs w:val="18"/>
    </w:rPr>
  </w:style>
  <w:style w:type="character" w:styleId="CommentReference">
    <w:name w:val="annotation reference"/>
    <w:basedOn w:val="DefaultParagraphFont"/>
    <w:uiPriority w:val="99"/>
    <w:semiHidden/>
    <w:unhideWhenUsed/>
    <w:rsid w:val="007C5685"/>
    <w:rPr>
      <w:sz w:val="16"/>
      <w:szCs w:val="16"/>
    </w:rPr>
  </w:style>
  <w:style w:type="paragraph" w:styleId="CommentText">
    <w:name w:val="annotation text"/>
    <w:basedOn w:val="Normal"/>
    <w:link w:val="CommentTextChar"/>
    <w:uiPriority w:val="99"/>
    <w:semiHidden/>
    <w:unhideWhenUsed/>
    <w:rsid w:val="007C5685"/>
    <w:pPr>
      <w:spacing w:line="240" w:lineRule="auto"/>
    </w:pPr>
    <w:rPr>
      <w:sz w:val="20"/>
      <w:szCs w:val="20"/>
    </w:rPr>
  </w:style>
  <w:style w:type="character" w:customStyle="1" w:styleId="CommentTextChar">
    <w:name w:val="Comment Text Char"/>
    <w:basedOn w:val="DefaultParagraphFont"/>
    <w:link w:val="CommentText"/>
    <w:uiPriority w:val="99"/>
    <w:semiHidden/>
    <w:rsid w:val="007C5685"/>
    <w:rPr>
      <w:sz w:val="20"/>
      <w:szCs w:val="20"/>
    </w:rPr>
  </w:style>
  <w:style w:type="paragraph" w:styleId="CommentSubject">
    <w:name w:val="annotation subject"/>
    <w:basedOn w:val="CommentText"/>
    <w:next w:val="CommentText"/>
    <w:link w:val="CommentSubjectChar"/>
    <w:uiPriority w:val="99"/>
    <w:semiHidden/>
    <w:unhideWhenUsed/>
    <w:rsid w:val="007C5685"/>
    <w:rPr>
      <w:b/>
      <w:bCs/>
    </w:rPr>
  </w:style>
  <w:style w:type="character" w:customStyle="1" w:styleId="CommentSubjectChar">
    <w:name w:val="Comment Subject Char"/>
    <w:basedOn w:val="CommentTextChar"/>
    <w:link w:val="CommentSubject"/>
    <w:uiPriority w:val="99"/>
    <w:semiHidden/>
    <w:rsid w:val="007C56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Select Legal Systems Ltd</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Halse</dc:creator>
  <cp:keywords/>
  <dc:description/>
  <cp:lastModifiedBy>Olivia Halse</cp:lastModifiedBy>
  <cp:revision>2</cp:revision>
  <dcterms:created xsi:type="dcterms:W3CDTF">2020-07-22T08:05:00Z</dcterms:created>
  <dcterms:modified xsi:type="dcterms:W3CDTF">2020-07-22T08:05:00Z</dcterms:modified>
</cp:coreProperties>
</file>